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南银理财珠联璧合鑫逸稳一年65期封闭式公募人民币理财产品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南银理财珠联璧合鑫逸稳一年65期封闭式公募人民币理财产品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Z7003222000039（投资者可依据该编码在中国理财网www.chinawealth.com.cn查询理财产品相关信息）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2022年06月22日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1,516,055,376.00份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鑫元基金管理有限公司、鹏华基金管理有限公司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Y30065</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77,382,349.45</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1.0250</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1.0250</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Y31065</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1,324,950,597.02</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1.0266</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1.0266</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Y32065</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154,115,532.20</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1.0274</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1.0274</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截至报告期末，本产品Y30065份额净值为1.0250元，Y31065份额净值为1.0266元，Y32065份额净值为1.0274元。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ZJQTT202202230001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鑫元基金-鑫安利得59号集合资产管理计划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500,988,489.17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32.19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ZJQTT202103220001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鑫元基金-鑫安利得52号集合资产管理计划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250,661,146.85</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16.10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22088943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22淮安交控05</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8.35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TYJKX202207180004</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同业借款（华夏金租）20220719</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6.42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22088851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22宿迁惠农01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6.42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22088916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22淮安投控04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6.42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22088878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22兴化城投02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5.78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鹏华基金南华1号集合资产管理计划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89,949,771.24</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5.78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22088839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22宿迁运河港03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4.50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22088926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22今世缘02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3.21</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宿迁市运河港区开发集团有限公司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22宿迁运河港03</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90</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淮安市国有联合投资发展集团有限公司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22淮安国联06</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84</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按半年付息，到期还本</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淮安市交通控股集团有限公司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22淮安交控05</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兴化市城市建设投资有限公司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22兴化城投02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91</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宿迁市惠农产业发展股份有限公司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22宿迁惠农01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90</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淮安市投资控股集团有限公司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22淮安投控04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106</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今世缘集团有限公司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22今世缘02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华夏金融租赁有限公司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同业借款（华夏金租）20220719</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110</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0120080000000843</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南银理财鑫逸稳一年65期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产品投资关联方作为管理人的资产管理产品交易金额44,000,000.00元。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282,478.59</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